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40"/>
      </w:pPr>
      <w:r>
        <w:rPr>
          <w:rFonts w:ascii="Calibri" w:hAnsi="Calibri"/>
          <w:b/>
          <w:i w:val="0"/>
          <w:color w:val="2E74B5"/>
          <w:sz w:val="20"/>
        </w:rPr>
        <w:t>COMPLETED SAMPLE</w:t>
      </w:r>
    </w:p>
    <w:p>
      <w:pPr>
        <w:keepNext/>
        <w:spacing w:before="0" w:after="160"/>
      </w:pPr>
      <w:r>
        <w:rPr>
          <w:rFonts w:ascii="Calibri" w:hAnsi="Calibri"/>
          <w:b/>
          <w:i w:val="0"/>
          <w:color w:val="0B2545"/>
          <w:sz w:val="56"/>
        </w:rPr>
        <w:t>Completed SaaS Digital PR Brief</w:t>
      </w:r>
    </w:p>
    <w:p>
      <w:pPr>
        <w:spacing w:after="360"/>
      </w:pPr>
      <w:r>
        <w:rPr>
          <w:rFonts w:ascii="Calibri" w:hAnsi="Calibri"/>
          <w:b w:val="0"/>
          <w:i w:val="0"/>
          <w:color w:val="667085"/>
          <w:sz w:val="26"/>
        </w:rPr>
        <w:t>A fictional workflow-analytics example showing the level of evidence and operational detail a usable brief needs.</w:t>
      </w:r>
    </w:p>
    <w:p>
      <w:pPr>
        <w:spacing w:before="80" w:after="240"/>
        <w:shd w:fill="E8EEF5"/>
      </w:pPr>
      <w:r>
        <w:rPr>
          <w:rFonts w:ascii="Calibri" w:hAnsi="Calibri"/>
          <w:b/>
          <w:i w:val="0"/>
          <w:color w:val="2E74B5"/>
          <w:sz w:val="17"/>
        </w:rPr>
        <w:t xml:space="preserve">FORMAT: </w:t>
      </w:r>
      <w:r>
        <w:rPr>
          <w:rFonts w:ascii="Calibri" w:hAnsi="Calibri"/>
          <w:b/>
          <w:i w:val="0"/>
          <w:color w:val="0B2545"/>
          <w:sz w:val="19"/>
        </w:rPr>
        <w:t>Editable Word file</w:t>
      </w:r>
      <w:r>
        <w:rPr>
          <w:rFonts w:ascii="Calibri" w:hAnsi="Calibri"/>
          <w:b w:val="0"/>
          <w:i w:val="0"/>
          <w:color w:val="667085"/>
          <w:sz w:val="18"/>
        </w:rPr>
        <w:t xml:space="preserve">    |    </w:t>
      </w:r>
      <w:r>
        <w:rPr>
          <w:rFonts w:ascii="Calibri" w:hAnsi="Calibri"/>
          <w:b/>
          <w:i w:val="0"/>
          <w:color w:val="2E74B5"/>
          <w:sz w:val="17"/>
        </w:rPr>
        <w:t xml:space="preserve">PURPOSE: </w:t>
      </w:r>
      <w:r>
        <w:rPr>
          <w:rFonts w:ascii="Calibri" w:hAnsi="Calibri"/>
          <w:b/>
          <w:i w:val="0"/>
          <w:color w:val="0B2545"/>
          <w:sz w:val="19"/>
        </w:rPr>
        <w:t>Journalist-ready evidence</w:t>
      </w:r>
      <w:r>
        <w:rPr>
          <w:rFonts w:ascii="Calibri" w:hAnsi="Calibri"/>
          <w:b w:val="0"/>
          <w:i w:val="0"/>
          <w:color w:val="667085"/>
          <w:sz w:val="18"/>
        </w:rPr>
        <w:t xml:space="preserve">    |    </w:t>
      </w:r>
      <w:r>
        <w:rPr>
          <w:rFonts w:ascii="Calibri" w:hAnsi="Calibri"/>
          <w:b/>
          <w:i w:val="0"/>
          <w:color w:val="2E74B5"/>
          <w:sz w:val="17"/>
        </w:rPr>
        <w:t xml:space="preserve">SOURCE: </w:t>
      </w:r>
      <w:r>
        <w:rPr>
          <w:rFonts w:ascii="Calibri" w:hAnsi="Calibri"/>
          <w:b/>
          <w:i w:val="0"/>
          <w:color w:val="0B2545"/>
          <w:sz w:val="19"/>
        </w:rPr>
        <w:t>Saaslinks.net</w:t>
      </w:r>
    </w:p>
    <w:p>
      <w:pPr>
        <w:spacing w:before="120" w:after="240"/>
        <w:ind w:left="115" w:right="115"/>
        <w:shd w:fill="F2F4F7"/>
        <w:pBdr>
          <w:left w:val="single" w:sz="18" w:space="8" w:color="9B1C1C"/>
        </w:pBdr>
      </w:pPr>
      <w:r>
        <w:rPr>
          <w:rFonts w:ascii="Calibri" w:hAnsi="Calibri"/>
          <w:b/>
          <w:i w:val="0"/>
          <w:color w:val="9B1C1C"/>
          <w:sz w:val="17"/>
        </w:rPr>
        <w:t>IMPORTANT</w:t>
        <w:br/>
      </w:r>
      <w:r>
        <w:rPr>
          <w:rFonts w:ascii="Calibri" w:hAnsi="Calibri"/>
          <w:b w:val="0"/>
          <w:i w:val="0"/>
          <w:color w:val="172033"/>
          <w:sz w:val="21"/>
        </w:rPr>
        <w:t>All company names, records, calculations, and findings in this example are fictional and provided only to demonstrate structure. Do not cite or publish them as research.</w:t>
      </w:r>
    </w:p>
    <w:p>
      <w:pPr>
        <w:pStyle w:val="Heading1"/>
      </w:pPr>
      <w:r>
        <w:t>1. Campaign control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Working campaign title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The Approval Delay Benchmark 2026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Campaign owner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Jordan Lee, Research Communications Lead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Launch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15 September 2026, 09:00 ET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Embargo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Available to individually confirmed reporters from 8 September 2026, 09:00 ET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Markets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United States and Canada; English</w:t>
      </w:r>
    </w:p>
    <w:p>
      <w:pPr>
        <w:pStyle w:val="Heading1"/>
      </w:pPr>
      <w:r>
        <w:t>2. The story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One-sentence finding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A fictional analysis of 2,437,118 completed tasks across 14,206 anonymized workspaces found that tasks requiring four or more approval stages had a median blocked time of 31.6 hours, versus 26.8 hours for tasks requiring two stages - a 17.9% relative difference.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Who is affected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Operations, project-management, and revenue teams using multi-stage approval workflows in North American SMB and mid-market companies.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Why it matters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Additional review layers may carry a measurable coordination cost that leaders should compare with the risk each approval is designed to control.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Why now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Annual planning and workflow redesign typically accelerate in Q4; the source page is scheduled before 2027 operating plans are finalized.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What is genuinely new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The fictional dataset compares blocked-time distributions by approval-stage count and team function using event-level workflow records rather than self-reported estimates.</w:t>
      </w:r>
    </w:p>
    <w:p>
      <w:pPr>
        <w:pStyle w:val="Heading1"/>
      </w:pPr>
      <w:r>
        <w:t>3. Verified findings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100"/>
        <w:gridCol w:w="2050"/>
        <w:gridCol w:w="2450"/>
        <w:gridCol w:w="1760"/>
      </w:tblGrid>
      <w:tr>
        <w:trPr>
          <w:tblHeader w:val="true"/>
        </w:trPr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Finding</w:t>
            </w:r>
          </w:p>
        </w:tc>
        <w:tc>
          <w:tcPr>
            <w:tcW w:type="dxa" w:w="2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Base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Comparison</w:t>
            </w:r>
          </w:p>
        </w:tc>
        <w:tc>
          <w:tcPr>
            <w:tcW w:type="dxa" w:w="1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Evidence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Median blocked time: 31.6h</w:t>
            </w:r>
          </w:p>
        </w:tc>
        <w:tc>
          <w:tcPr>
            <w:tcW w:type="dxa" w:w="2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418,902 tasks / 3,184 workspaces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4+ stages vs 26.8h at 2 stages</w:t>
            </w:r>
          </w:p>
        </w:tc>
        <w:tc>
          <w:tcPr>
            <w:tcW w:type="dxa" w:w="1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Table 2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90th percentile: 79.4h</w:t>
            </w:r>
          </w:p>
        </w:tc>
        <w:tc>
          <w:tcPr>
            <w:tcW w:type="dxa" w:w="2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418,902 tasks / 3,184 workspaces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4+ stages vs 63.1h at 2 stages</w:t>
            </w:r>
          </w:p>
        </w:tc>
        <w:tc>
          <w:tcPr>
            <w:tcW w:type="dxa" w:w="1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Table 3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Largest relative gap: revenue ops</w:t>
            </w:r>
          </w:p>
        </w:tc>
        <w:tc>
          <w:tcPr>
            <w:tcW w:type="dxa" w:w="2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72,410 tasks / 612 workspaces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22.4% above 2-stage baseline</w:t>
            </w:r>
          </w:p>
        </w:tc>
        <w:tc>
          <w:tcPr>
            <w:tcW w:type="dxa" w:w="1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Table 5</w:t>
            </w:r>
          </w:p>
        </w:tc>
      </w:tr>
    </w:tbl>
    <w:p>
      <w:pPr>
        <w:spacing w:before="80"/>
      </w:pPr>
      <w:r>
        <w:rPr>
          <w:rFonts w:ascii="Calibri" w:hAnsi="Calibri"/>
          <w:b/>
          <w:i w:val="0"/>
          <w:color w:val="1F4D78"/>
          <w:sz w:val="19"/>
        </w:rPr>
        <w:t xml:space="preserve">Interpretation: </w:t>
      </w:r>
      <w:r>
        <w:rPr>
          <w:rFonts w:ascii="Calibri" w:hAnsi="Calibri"/>
          <w:b w:val="0"/>
          <w:i w:val="0"/>
          <w:color w:val="172033"/>
          <w:sz w:val="19"/>
        </w:rPr>
        <w:t>These fictional descriptive results show association, not that adding approval stages caused longer delays.</w:t>
      </w:r>
    </w:p>
    <w:p>
      <w:pPr>
        <w:pStyle w:val="Heading1"/>
      </w:pPr>
      <w:r>
        <w:t>4. Angle matrix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700"/>
        <w:gridCol w:w="2500"/>
        <w:gridCol w:w="3100"/>
        <w:gridCol w:w="2060"/>
      </w:tblGrid>
      <w:tr>
        <w:trPr>
          <w:tblHeader w:val="true"/>
        </w:trP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Beat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Audience question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Supported angle</w:t>
            </w:r>
          </w:p>
        </w:tc>
        <w:tc>
          <w:tcPr>
            <w:tcW w:type="dxa" w:w="2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Asset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Technology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How does workflow complexity change execution speed?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Delay distributions by stage count</w:t>
            </w:r>
          </w:p>
        </w:tc>
        <w:tc>
          <w:tcPr>
            <w:tcW w:type="dxa" w:w="2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Main chart + analyst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Business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What operating cost may extra review create?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Scenario calculation with assumptions</w:t>
            </w:r>
          </w:p>
        </w:tc>
        <w:tc>
          <w:tcPr>
            <w:tcW w:type="dxa" w:w="2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Calculator sheet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HR / workplace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Which functions experience the largest gap?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Team-function comparison</w:t>
            </w:r>
          </w:p>
        </w:tc>
        <w:tc>
          <w:tcPr>
            <w:tcW w:type="dxa" w:w="2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Segment chart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Canada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Does the pattern appear in Canadian workspaces?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Canada-only descriptive cut (adequate base)</w:t>
            </w:r>
          </w:p>
        </w:tc>
        <w:tc>
          <w:tcPr>
            <w:tcW w:type="dxa" w:w="2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Regional table</w:t>
            </w:r>
          </w:p>
        </w:tc>
      </w:tr>
    </w:tbl>
    <w:p>
      <w:pPr>
        <w:pStyle w:val="Heading1"/>
      </w:pPr>
      <w:r>
        <w:t>5. Methodology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Sponsor and researcher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Northstar Workflow Labs (fictional); analysis by its research team; independent review by a fictional statistical consultant.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Population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Completed tasks recorded in eligible North American customer workspaces during calendar year 2025.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Unit of analysis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Task. Event count is not presented as the number of companies; workspace and task counts are disclosed separately.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Inclusion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Paid SMB and mid-market workspaces active for at least 180 days, with at least 100 completed tasks and configured approval events.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Exclusions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Trials, internal test accounts, deleted workspaces, bots, duplicate events, reopened tasks, tasks missing timestamps, and the top 0.5% of blocked-time values after a pre-specified data-quality review.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Definitions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Blocked time is elapsed clock time between approval request and recorded resolution. Approval stage is a distinct configured reviewer gate.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Analysis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Medians and percentiles by pre-specified stage-count bands; workspace-clustered bootstrap intervals; no causal model.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Privacy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Customer identifiers removed; aggregates suppressed when fewer than 50 workspaces contributed to a segment.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Limitations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Customers are not a probability sample of all SaaS companies; workflow configuration and omitted operational factors may explain part of the observed differences.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Reproducibility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Public aggregate CSV, data dictionary, pre-analysis rules, and calculation notebook accompany the source page.</w:t>
      </w:r>
    </w:p>
    <w:p>
      <w:pPr>
        <w:pStyle w:val="Heading1"/>
      </w:pPr>
      <w:r>
        <w:t>6. Source material and experts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Item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Example value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Research page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https://example.com/research/approval-delay-benchmark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Methodology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https://example.com/research/approval-delay-benchmark/methodology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Aggregate CSV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approval-delay-aggregates.csv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Data dictionary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approval-delay-data-dictionary.pdf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Calculation notebook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approval-delay-analysis.html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Research expert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Dr. Casey Morgan, Head of Research - methodology and limitations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Operations expert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Avery Patel, VP Operations - practical interpretation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Media contact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Jordan Lee - replies within 60 minutes during 08:00-18:00 ET</w:t>
            </w:r>
          </w:p>
        </w:tc>
      </w:tr>
    </w:tbl>
    <w:p>
      <w:pPr>
        <w:pStyle w:val="Heading1"/>
      </w:pPr>
      <w:r>
        <w:t>7. Assets and approvals</w:t>
      </w:r>
    </w:p>
    <w:p>
      <w:pPr>
        <w:pStyle w:val="ListBullet"/>
      </w:pPr>
      <w:r>
        <w:rPr>
          <w:rFonts w:ascii="Calibri" w:hAnsi="Calibri"/>
          <w:b w:val="0"/>
          <w:i w:val="0"/>
          <w:color w:val="172033"/>
          <w:sz w:val="22"/>
        </w:rPr>
        <w:t>SVG and 2400px PNG charts, with captions, source lines, and alt text.</w:t>
      </w:r>
    </w:p>
    <w:p>
      <w:pPr>
        <w:pStyle w:val="ListBullet"/>
      </w:pPr>
      <w:r>
        <w:rPr>
          <w:rFonts w:ascii="Calibri" w:hAnsi="Calibri"/>
          <w:b w:val="0"/>
          <w:i w:val="0"/>
          <w:color w:val="172033"/>
          <w:sz w:val="22"/>
        </w:rPr>
        <w:t>Aggregate spreadsheet containing every number used in the release.</w:t>
      </w:r>
    </w:p>
    <w:p>
      <w:pPr>
        <w:pStyle w:val="ListBullet"/>
      </w:pPr>
      <w:r>
        <w:rPr>
          <w:rFonts w:ascii="Calibri" w:hAnsi="Calibri"/>
          <w:b w:val="0"/>
          <w:i w:val="0"/>
          <w:color w:val="172033"/>
          <w:sz w:val="22"/>
        </w:rPr>
        <w:t>Two approved expert quotes; live interviews available 8-16 September.</w:t>
      </w:r>
    </w:p>
    <w:p>
      <w:pPr>
        <w:pStyle w:val="ListBullet"/>
      </w:pPr>
      <w:r>
        <w:rPr>
          <w:rFonts w:ascii="Calibri" w:hAnsi="Calibri"/>
          <w:b w:val="0"/>
          <w:i w:val="0"/>
          <w:color w:val="172033"/>
          <w:sz w:val="22"/>
        </w:rPr>
        <w:t>Usage permission for charts with attribution to the fictional study.</w:t>
      </w:r>
    </w:p>
    <w:p>
      <w:pPr>
        <w:pStyle w:val="ListBullet"/>
      </w:pPr>
      <w:r>
        <w:rPr>
          <w:rFonts w:ascii="Calibri" w:hAnsi="Calibri"/>
          <w:b w:val="0"/>
          <w:i w:val="0"/>
          <w:color w:val="172033"/>
          <w:sz w:val="22"/>
        </w:rPr>
        <w:t>Data QA: Casey Morgan (2 hours). Legal/privacy: Sam Rivera (4 hours). Quote approval: Avery Patel (60 minutes).</w:t>
      </w:r>
    </w:p>
    <w:p>
      <w:pPr>
        <w:pStyle w:val="ListBullet"/>
      </w:pPr>
      <w:r>
        <w:rPr>
          <w:rFonts w:ascii="Calibri" w:hAnsi="Calibri"/>
          <w:b w:val="0"/>
          <w:i w:val="0"/>
          <w:color w:val="172033"/>
          <w:sz w:val="22"/>
        </w:rPr>
        <w:t>Corrections appear on the methodology page and in a dated corrections log.</w:t>
      </w:r>
    </w:p>
    <w:p>
      <w:pPr>
        <w:pStyle w:val="Heading1"/>
      </w:pPr>
      <w:r>
        <w:t>8. Internal-only goals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Objective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Earn relevant editorial citations to the canonical study while establishing the company as a transparent workflow-data source.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Measurement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Relevant coverage, linked referring domains, unlinked mentions, source-page referral traffic, and follow-on journalist relationships. Impressions are contextual, not the primary success measure.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0"/>
        </w:rPr>
        <w:t>No-go claims</w:t>
      </w:r>
    </w:p>
    <w:p>
      <w:pPr>
        <w:spacing w:after="140"/>
      </w:pPr>
      <w:r>
        <w:rPr>
          <w:rFonts w:ascii="Calibri" w:hAnsi="Calibri"/>
          <w:b w:val="0"/>
          <w:i w:val="0"/>
          <w:color w:val="172033"/>
          <w:sz w:val="21"/>
        </w:rPr>
        <w:t>Do not claim approvals cause delay, that the customer dataset represents every company, or that removing controls will improve outcomes.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b w:val="0"/>
        <w:i w:val="0"/>
        <w:color w:val="667085"/>
        <w:sz w:val="17"/>
      </w:rPr>
      <w:t>Saaslinks.net  |  Editable working document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667085"/>
        <w:sz w:val="17"/>
      </w:rPr>
      <w:t>SAASLINKS  /  DIGITAL PR OPERATING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