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40"/>
      </w:pPr>
      <w:r>
        <w:rPr>
          <w:rFonts w:ascii="Calibri" w:hAnsi="Calibri"/>
          <w:b/>
          <w:i w:val="0"/>
          <w:color w:val="2E74B5"/>
          <w:sz w:val="20"/>
        </w:rPr>
        <w:t>REVIEW CHECKLIST</w:t>
      </w:r>
    </w:p>
    <w:p>
      <w:pPr>
        <w:keepNext/>
        <w:spacing w:before="0" w:after="160"/>
      </w:pPr>
      <w:r>
        <w:rPr>
          <w:rFonts w:ascii="Calibri" w:hAnsi="Calibri"/>
          <w:b/>
          <w:i w:val="0"/>
          <w:color w:val="0B2545"/>
          <w:sz w:val="56"/>
        </w:rPr>
        <w:t>Digital PR Methodology &amp; QA Checklist</w:t>
      </w:r>
    </w:p>
    <w:p>
      <w:pPr>
        <w:spacing w:after="360"/>
      </w:pPr>
      <w:r>
        <w:rPr>
          <w:rFonts w:ascii="Calibri" w:hAnsi="Calibri"/>
          <w:b w:val="0"/>
          <w:i w:val="0"/>
          <w:color w:val="667085"/>
          <w:sz w:val="26"/>
        </w:rPr>
        <w:t>A final evidence gate for SaaS research campaigns before journalist outreach begins.</w:t>
      </w:r>
    </w:p>
    <w:p>
      <w:pPr>
        <w:spacing w:before="80" w:after="240"/>
        <w:shd w:fill="E8EEF5"/>
      </w:pPr>
      <w:r>
        <w:rPr>
          <w:rFonts w:ascii="Calibri" w:hAnsi="Calibri"/>
          <w:b/>
          <w:i w:val="0"/>
          <w:color w:val="2E74B5"/>
          <w:sz w:val="17"/>
        </w:rPr>
        <w:t xml:space="preserve">FORMAT: </w:t>
      </w:r>
      <w:r>
        <w:rPr>
          <w:rFonts w:ascii="Calibri" w:hAnsi="Calibri"/>
          <w:b/>
          <w:i w:val="0"/>
          <w:color w:val="0B2545"/>
          <w:sz w:val="19"/>
        </w:rPr>
        <w:t>Editable Word file</w:t>
      </w:r>
      <w:r>
        <w:rPr>
          <w:rFonts w:ascii="Calibri" w:hAnsi="Calibri"/>
          <w:b w:val="0"/>
          <w:i w:val="0"/>
          <w:color w:val="667085"/>
          <w:sz w:val="18"/>
        </w:rPr>
        <w:t xml:space="preserve">    |    </w:t>
      </w:r>
      <w:r>
        <w:rPr>
          <w:rFonts w:ascii="Calibri" w:hAnsi="Calibri"/>
          <w:b/>
          <w:i w:val="0"/>
          <w:color w:val="2E74B5"/>
          <w:sz w:val="17"/>
        </w:rPr>
        <w:t xml:space="preserve">PURPOSE: </w:t>
      </w:r>
      <w:r>
        <w:rPr>
          <w:rFonts w:ascii="Calibri" w:hAnsi="Calibri"/>
          <w:b/>
          <w:i w:val="0"/>
          <w:color w:val="0B2545"/>
          <w:sz w:val="19"/>
        </w:rPr>
        <w:t>Journalist-ready evidence</w:t>
      </w:r>
      <w:r>
        <w:rPr>
          <w:rFonts w:ascii="Calibri" w:hAnsi="Calibri"/>
          <w:b w:val="0"/>
          <w:i w:val="0"/>
          <w:color w:val="667085"/>
          <w:sz w:val="18"/>
        </w:rPr>
        <w:t xml:space="preserve">    |    </w:t>
      </w:r>
      <w:r>
        <w:rPr>
          <w:rFonts w:ascii="Calibri" w:hAnsi="Calibri"/>
          <w:b/>
          <w:i w:val="0"/>
          <w:color w:val="2E74B5"/>
          <w:sz w:val="17"/>
        </w:rPr>
        <w:t xml:space="preserve">SOURCE: </w:t>
      </w:r>
      <w:r>
        <w:rPr>
          <w:rFonts w:ascii="Calibri" w:hAnsi="Calibri"/>
          <w:b/>
          <w:i w:val="0"/>
          <w:color w:val="0B2545"/>
          <w:sz w:val="19"/>
        </w:rPr>
        <w:t>Saaslinks.net</w:t>
      </w:r>
    </w:p>
    <w:p>
      <w:pPr>
        <w:spacing w:before="120" w:after="240"/>
        <w:ind w:left="115" w:right="115"/>
        <w:shd w:fill="F2F4F7"/>
        <w:pBdr>
          <w:left w:val="single" w:sz="18" w:space="8" w:color="2E74B5"/>
        </w:pBdr>
      </w:pPr>
      <w:r>
        <w:rPr>
          <w:rFonts w:ascii="Calibri" w:hAnsi="Calibri"/>
          <w:b/>
          <w:i w:val="0"/>
          <w:color w:val="2E74B5"/>
          <w:sz w:val="17"/>
        </w:rPr>
        <w:t>RELEASE RULE</w:t>
        <w:br/>
      </w:r>
      <w:r>
        <w:rPr>
          <w:rFonts w:ascii="Calibri" w:hAnsi="Calibri"/>
          <w:b w:val="0"/>
          <w:i w:val="0"/>
          <w:color w:val="172033"/>
          <w:sz w:val="21"/>
        </w:rPr>
        <w:t>A failed evidence check is a research problem, not a wording problem. Pause outreach until every critical item has an owner and resolution.</w:t>
      </w:r>
    </w:p>
    <w:p>
      <w:pPr>
        <w:pStyle w:val="Heading1"/>
      </w:pPr>
      <w:r>
        <w:t>Story and relevance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The story can be explained in one factual sentence.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The headline reports a new verified fact, not a company opinion.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There is a specific and sourced reason the finding matters now.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Each target journalist covers the subject for the intended audience.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Every regional or segment angle has an adequate, disclosed base.</w:t>
      </w:r>
    </w:p>
    <w:p>
      <w:pPr>
        <w:pStyle w:val="Heading1"/>
      </w:pPr>
      <w:r>
        <w:t>Data integrity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Every headline number traces to a table and reproducible calculation.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Numerators, denominators, subgroup bases, dates, geography, and definitions are visible.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Absolute and relative changes are both shown when either could mislead alone.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The analysis distinguishes association, prediction, and causation.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Survey questions are neutral, pretested where appropriate, and published with answer choices and order.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Exclusions, weighting, models, ranking formulas, and limitations are disclosed.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A reviewer other than the original analyst reproduced the key figures.</w:t>
      </w:r>
    </w:p>
    <w:p>
      <w:pPr>
        <w:pStyle w:val="Heading1"/>
      </w:pPr>
      <w:r>
        <w:t>Privacy, ethics, and risk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Customer or respondent data is aggregated and appropriately anonymized.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The intended use matches consent, contracts, and applicable law.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Sensitive segments are suppressed when counts are too small.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Regulated, financial, medical, security, or employment claims received appropriate review.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Sponsor, researcher, incentives, and commercial interests are disclosed.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A named owner can issue and explain corrections.</w:t>
      </w:r>
    </w:p>
    <w:p>
      <w:pPr>
        <w:pStyle w:val="Heading1"/>
      </w:pPr>
      <w:r>
        <w:t>Newsroom usability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Evidence is accessible without a lead form or unexplained ZIP archive.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Charts are downloadable with source lines, captions, alt text, and usage terms.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The aggregate table contains every figure journalists are invited to cite.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Experts are available during the outreach window and can answer the specific evidence questions.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The team can answer methodology questions before likely newsroom deadlines.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Embargo date, time, timezone, and terms match in every file.</w:t>
      </w:r>
    </w:p>
    <w:p>
      <w:pPr>
        <w:pStyle w:val="Heading1"/>
      </w:pPr>
      <w:r>
        <w:t>SEO and measurement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The research page is the stable canonical source; tracking does not obscure it.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Journalists are not asked to use exact-match anchor text.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Linked coverage and unlinked brand mentions are logged separately.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KPIs define relevant coverage and quality, not only impression estimates.</w:t>
      </w:r>
    </w:p>
    <w:p>
      <w:pPr>
        <w:spacing w:after="100"/>
        <w:ind w:left="115" w:hanging="115"/>
      </w:pPr>
      <w:r>
        <w:rPr>
          <w:rFonts w:ascii="DejaVu Sans" w:hAnsi="DejaVu Sans"/>
          <w:b w:val="0"/>
          <w:i w:val="0"/>
          <w:color w:val="2E74B5"/>
          <w:sz w:val="22"/>
        </w:rPr>
        <w:t xml:space="preserve">☐ </w:t>
      </w:r>
      <w:r>
        <w:rPr>
          <w:rFonts w:ascii="Calibri" w:hAnsi="Calibri"/>
          <w:b w:val="0"/>
          <w:i w:val="0"/>
          <w:color w:val="172033"/>
          <w:sz w:val="21"/>
        </w:rPr>
        <w:t>A post-launch monitoring and correction cadence is scheduled.</w:t>
      </w:r>
    </w:p>
    <w:p>
      <w:pPr>
        <w:pStyle w:val="Heading1"/>
      </w:pPr>
      <w:r>
        <w:t>Final decision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800"/>
        <w:gridCol w:w="5160"/>
        <w:gridCol w:w="2400"/>
      </w:tblGrid>
      <w:tr>
        <w:trPr>
          <w:tblHeader w:val="true"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Decision</w:t>
            </w:r>
          </w:p>
        </w:tc>
        <w:tc>
          <w:tcPr>
            <w:tcW w:type="dxa" w:w="5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Use when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Owner / date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READY</w:t>
            </w:r>
          </w:p>
        </w:tc>
        <w:tc>
          <w:tcPr>
            <w:tcW w:type="dxa" w:w="5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All critical checks pass; assets and experts are available.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[Name / date]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CONDITIONAL</w:t>
            </w:r>
          </w:p>
        </w:tc>
        <w:tc>
          <w:tcPr>
            <w:tcW w:type="dxa" w:w="5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Minor non-evidence tasks remain with owners and deadlines.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[Name / date]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NO-GO</w:t>
            </w:r>
          </w:p>
        </w:tc>
        <w:tc>
          <w:tcPr>
            <w:tcW w:type="dxa" w:w="5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A claim, calculation, privacy, relevance, or verification check fails.</w:t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085"/>
                <w:sz w:val="19"/>
              </w:rPr>
              <w:t>[Name / date]</w:t>
            </w:r>
          </w:p>
        </w:tc>
      </w:tr>
    </w:tbl>
    <w:p>
      <w:pPr>
        <w:pStyle w:val="Heading1"/>
      </w:pPr>
      <w:r>
        <w:t>Review notes</w:t>
      </w:r>
    </w:p>
    <w:p>
      <w:pPr>
        <w:spacing w:after="160"/>
      </w:pPr>
      <w:r>
        <w:rPr>
          <w:rFonts w:ascii="Calibri" w:hAnsi="Calibri"/>
          <w:b w:val="0"/>
          <w:i w:val="0"/>
          <w:color w:val="667085"/>
          <w:sz w:val="18"/>
        </w:rPr>
        <w:t>________________________________________________________________________________</w:t>
      </w:r>
    </w:p>
    <w:p>
      <w:pPr>
        <w:spacing w:after="160"/>
      </w:pPr>
      <w:r>
        <w:rPr>
          <w:rFonts w:ascii="Calibri" w:hAnsi="Calibri"/>
          <w:b w:val="0"/>
          <w:i w:val="0"/>
          <w:color w:val="667085"/>
          <w:sz w:val="18"/>
        </w:rPr>
        <w:t>________________________________________________________________________________</w:t>
      </w:r>
    </w:p>
    <w:p>
      <w:pPr>
        <w:spacing w:after="160"/>
      </w:pPr>
      <w:r>
        <w:rPr>
          <w:rFonts w:ascii="Calibri" w:hAnsi="Calibri"/>
          <w:b w:val="0"/>
          <w:i w:val="0"/>
          <w:color w:val="667085"/>
          <w:sz w:val="18"/>
        </w:rPr>
        <w:t>________________________________________________________________________________</w:t>
      </w:r>
    </w:p>
    <w:p>
      <w:pPr>
        <w:spacing w:after="160"/>
      </w:pPr>
      <w:r>
        <w:rPr>
          <w:rFonts w:ascii="Calibri" w:hAnsi="Calibri"/>
          <w:b w:val="0"/>
          <w:i w:val="0"/>
          <w:color w:val="667085"/>
          <w:sz w:val="18"/>
        </w:rPr>
        <w:t>________________________________________________________________________________</w:t>
      </w:r>
    </w:p>
    <w:p>
      <w:pPr>
        <w:spacing w:after="160"/>
      </w:pPr>
      <w:r>
        <w:rPr>
          <w:rFonts w:ascii="Calibri" w:hAnsi="Calibri"/>
          <w:b w:val="0"/>
          <w:i w:val="0"/>
          <w:color w:val="667085"/>
          <w:sz w:val="18"/>
        </w:rPr>
        <w:t>________________________________________________________________________________</w:t>
      </w:r>
    </w:p>
    <w:p>
      <w:pPr>
        <w:spacing w:after="160"/>
      </w:pPr>
      <w:r>
        <w:rPr>
          <w:rFonts w:ascii="Calibri" w:hAnsi="Calibri"/>
          <w:b w:val="0"/>
          <w:i w:val="0"/>
          <w:color w:val="667085"/>
          <w:sz w:val="18"/>
        </w:rPr>
        <w:t>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b w:val="0"/>
        <w:i w:val="0"/>
        <w:color w:val="667085"/>
        <w:sz w:val="17"/>
      </w:rPr>
      <w:t>Saaslinks.net  |  Editable working document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667085"/>
        <w:sz w:val="17"/>
      </w:rPr>
      <w:t>SAASLINKS  /  DIGITAL PR OPERATING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